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1C" w:rsidRPr="00C34372" w:rsidRDefault="00D2511C" w:rsidP="00D2511C">
      <w:pPr>
        <w:tabs>
          <w:tab w:val="left" w:pos="7200"/>
          <w:tab w:val="left" w:pos="8640"/>
        </w:tabs>
        <w:spacing w:line="276" w:lineRule="auto"/>
        <w:jc w:val="center"/>
        <w:rPr>
          <w:rFonts w:ascii="Sylfaen" w:hAnsi="Sylfaen"/>
          <w:color w:val="5B9BD5" w:themeColor="accent1"/>
          <w:sz w:val="23"/>
          <w:szCs w:val="23"/>
        </w:rPr>
      </w:pPr>
      <w:r w:rsidRPr="00C34372">
        <w:rPr>
          <w:rFonts w:ascii="Sylfaen" w:hAnsi="Sylfaen"/>
          <w:color w:val="5B9BD5" w:themeColor="accent1"/>
          <w:sz w:val="23"/>
          <w:szCs w:val="23"/>
        </w:rPr>
        <w:t>CHAPTER 2</w:t>
      </w:r>
    </w:p>
    <w:p w:rsidR="00D2511C" w:rsidRPr="00C34372" w:rsidRDefault="00D2511C" w:rsidP="00D2511C">
      <w:pPr>
        <w:pBdr>
          <w:bottom w:val="single" w:sz="4" w:space="1" w:color="auto"/>
        </w:pBdr>
        <w:tabs>
          <w:tab w:val="left" w:pos="7200"/>
          <w:tab w:val="left" w:pos="8640"/>
        </w:tabs>
        <w:spacing w:line="276" w:lineRule="auto"/>
        <w:jc w:val="center"/>
        <w:rPr>
          <w:rFonts w:ascii="Sylfaen" w:hAnsi="Sylfaen"/>
          <w:b/>
          <w:color w:val="5B9BD5" w:themeColor="accent1"/>
          <w:sz w:val="23"/>
          <w:szCs w:val="23"/>
        </w:rPr>
      </w:pPr>
      <w:r w:rsidRPr="00C34372">
        <w:rPr>
          <w:rFonts w:ascii="Sylfaen" w:hAnsi="Sylfaen"/>
          <w:b/>
          <w:color w:val="5B9BD5" w:themeColor="accent1"/>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w:t>
      </w:r>
      <w:r w:rsidR="00E56AC3">
        <w:rPr>
          <w:rFonts w:ascii="Sylfaen" w:hAnsi="Sylfaen"/>
          <w:color w:val="000000"/>
          <w:sz w:val="22"/>
        </w:rPr>
        <w:t>evelopment philosophy of Gross N</w:t>
      </w:r>
      <w:r w:rsidRPr="004A1F0F">
        <w:rPr>
          <w:rFonts w:ascii="Sylfaen" w:hAnsi="Sylfaen"/>
          <w:color w:val="000000"/>
          <w:sz w:val="22"/>
        </w:rPr>
        <w:t>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 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of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D2511C" w:rsidRPr="004A1F0F" w:rsidRDefault="00D2511C" w:rsidP="00D2511C">
      <w:pPr>
        <w:jc w:val="both"/>
        <w:rPr>
          <w:rFonts w:ascii="Sylfaen" w:hAnsi="Sylfaen"/>
          <w:color w:val="000000"/>
          <w:sz w:val="22"/>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7B0203" w:rsidRDefault="007B0203" w:rsidP="00D2511C">
      <w:pPr>
        <w:tabs>
          <w:tab w:val="left" w:pos="7200"/>
          <w:tab w:val="left" w:pos="8640"/>
        </w:tabs>
        <w:spacing w:line="276" w:lineRule="auto"/>
        <w:jc w:val="center"/>
        <w:rPr>
          <w:rFonts w:ascii="Sylfaen" w:hAnsi="Sylfaen"/>
          <w:color w:val="0070C0"/>
          <w:sz w:val="23"/>
          <w:szCs w:val="23"/>
        </w:rPr>
      </w:pPr>
    </w:p>
    <w:p w:rsidR="00D2511C" w:rsidRDefault="00D2511C" w:rsidP="00FB0707">
      <w:pPr>
        <w:tabs>
          <w:tab w:val="left" w:pos="7200"/>
          <w:tab w:val="left" w:pos="8640"/>
        </w:tabs>
        <w:spacing w:line="276" w:lineRule="auto"/>
        <w:ind w:left="1170"/>
        <w:rPr>
          <w:rFonts w:ascii="Sylfaen" w:hAnsi="Sylfaen"/>
          <w:color w:val="0070C0"/>
          <w:sz w:val="23"/>
          <w:szCs w:val="23"/>
        </w:rPr>
      </w:pPr>
    </w:p>
    <w:p w:rsidR="00D2511C" w:rsidRDefault="000F5397" w:rsidP="007B0203">
      <w:pPr>
        <w:tabs>
          <w:tab w:val="left" w:pos="7200"/>
          <w:tab w:val="left" w:pos="8640"/>
        </w:tabs>
        <w:spacing w:line="276" w:lineRule="auto"/>
        <w:rPr>
          <w:rFonts w:ascii="Sylfaen" w:hAnsi="Sylfaen"/>
          <w:color w:val="0070C0"/>
          <w:sz w:val="23"/>
          <w:szCs w:val="23"/>
        </w:rPr>
      </w:pPr>
      <w:r w:rsidRPr="000F5397">
        <w:rPr>
          <w:rFonts w:ascii="Sylfaen" w:hAnsi="Sylfaen"/>
          <w:color w:val="0070C0"/>
          <w:sz w:val="23"/>
          <w:szCs w:val="23"/>
        </w:rPr>
        <w:lastRenderedPageBreak/>
        <w:drawing>
          <wp:inline distT="0" distB="0" distL="0" distR="0">
            <wp:extent cx="5432425" cy="3484564"/>
            <wp:effectExtent l="19050" t="0" r="15875" b="1586"/>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221E56" w:rsidRDefault="00221E56">
      <w:bookmarkStart w:id="0" w:name="_GoBack"/>
      <w:bookmarkEnd w:id="0"/>
    </w:p>
    <w:sectPr w:rsidR="00221E56" w:rsidSect="0082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altName w:val="Segoe UI"/>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52FD0"/>
    <w:rsid w:val="000F5397"/>
    <w:rsid w:val="00107CB0"/>
    <w:rsid w:val="00113C97"/>
    <w:rsid w:val="00123C0D"/>
    <w:rsid w:val="00221E56"/>
    <w:rsid w:val="00304D91"/>
    <w:rsid w:val="00377B00"/>
    <w:rsid w:val="00500095"/>
    <w:rsid w:val="00672741"/>
    <w:rsid w:val="006D6428"/>
    <w:rsid w:val="00780DFC"/>
    <w:rsid w:val="007B0203"/>
    <w:rsid w:val="00820443"/>
    <w:rsid w:val="00837F4D"/>
    <w:rsid w:val="008B0468"/>
    <w:rsid w:val="009F7392"/>
    <w:rsid w:val="00B404A1"/>
    <w:rsid w:val="00C34372"/>
    <w:rsid w:val="00C842B7"/>
    <w:rsid w:val="00D2511C"/>
    <w:rsid w:val="00DE2B9D"/>
    <w:rsid w:val="00E56AC3"/>
    <w:rsid w:val="00FA1283"/>
    <w:rsid w:val="00FB0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203"/>
    <w:rPr>
      <w:rFonts w:ascii="Tahoma" w:hAnsi="Tahoma" w:cs="Tahoma"/>
      <w:sz w:val="16"/>
      <w:szCs w:val="16"/>
    </w:rPr>
  </w:style>
  <w:style w:type="character" w:customStyle="1" w:styleId="BalloonTextChar">
    <w:name w:val="Balloon Text Char"/>
    <w:basedOn w:val="DefaultParagraphFont"/>
    <w:link w:val="BalloonText"/>
    <w:uiPriority w:val="99"/>
    <w:semiHidden/>
    <w:rsid w:val="007B02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E:\BackUp%20(Pem's%20File)\PUBLICATION\STATISTICAL%20YEAR%20BOOK\SYB%202017\SYB%202017%20(%20Data%20entry%20format%20)%20updated\Chapter%20Writeups\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18"/>
  <c:chart>
    <c:title>
      <c:tx>
        <c:rich>
          <a:bodyPr/>
          <a:lstStyle/>
          <a:p>
            <a:pPr>
              <a:defRPr sz="1400"/>
            </a:pPr>
            <a:r>
              <a:rPr lang="en-US" sz="1400"/>
              <a:t>Health Facilities and Personnel</a:t>
            </a:r>
          </a:p>
        </c:rich>
      </c:tx>
      <c:layout>
        <c:manualLayout>
          <c:xMode val="edge"/>
          <c:yMode val="edge"/>
          <c:x val="0.32263418270845912"/>
          <c:y val="2.3899116216548191E-2"/>
        </c:manualLayout>
      </c:layout>
    </c:title>
    <c:plotArea>
      <c:layout>
        <c:manualLayout>
          <c:layoutTarget val="inner"/>
          <c:xMode val="edge"/>
          <c:yMode val="edge"/>
          <c:x val="0.26175216408878171"/>
          <c:y val="0.10545393914417987"/>
          <c:w val="0.69789127323432998"/>
          <c:h val="0.7737461559035802"/>
        </c:manualLayout>
      </c:layout>
      <c:barChart>
        <c:barDir val="bar"/>
        <c:grouping val="clustered"/>
        <c:ser>
          <c:idx val="0"/>
          <c:order val="0"/>
          <c:tx>
            <c:strRef>
              <c:f>Health!$B$3</c:f>
              <c:strCache>
                <c:ptCount val="1"/>
                <c:pt idx="0">
                  <c:v>2011</c:v>
                </c:pt>
              </c:strCache>
            </c:strRef>
          </c:tx>
          <c:dLbls>
            <c:dLbl>
              <c:idx val="7"/>
              <c:layout>
                <c:manualLayout>
                  <c:x val="-9.3512565751022996E-3"/>
                  <c:y val="0"/>
                </c:manualLayout>
              </c:layout>
              <c:showVal val="1"/>
            </c:dLbl>
            <c:dLbl>
              <c:idx val="8"/>
              <c:layout>
                <c:manualLayout>
                  <c:x val="-7.0134424313267139E-3"/>
                  <c:y val="-2.8697994928490389E-7"/>
                </c:manualLayout>
              </c:layout>
              <c:showVal val="1"/>
            </c:dLbl>
            <c:dLbl>
              <c:idx val="10"/>
              <c:layout>
                <c:manualLayout>
                  <c:x val="-1.4026884862653381E-2"/>
                  <c:y val="3.6443583759689893E-3"/>
                </c:manualLayout>
              </c:layout>
              <c:showVal val="1"/>
            </c:dLbl>
            <c:txPr>
              <a:bodyPr/>
              <a:lstStyle/>
              <a:p>
                <a:pPr>
                  <a:defRPr sz="800"/>
                </a:pPr>
                <a:endParaRPr lang="en-US"/>
              </a:p>
            </c:txPr>
            <c:showVal val="1"/>
          </c:dLbls>
          <c:cat>
            <c:strRef>
              <c:f>Health!$A$4:$A$14</c:f>
              <c:strCache>
                <c:ptCount val="11"/>
                <c:pt idx="0">
                  <c:v>Hospitals </c:v>
                </c:pt>
                <c:pt idx="1">
                  <c:v>Basic Health Units </c:v>
                </c:pt>
                <c:pt idx="2">
                  <c:v>Outreach Clinics</c:v>
                </c:pt>
                <c:pt idx="3">
                  <c:v>Indigenous Units</c:v>
                </c:pt>
                <c:pt idx="4">
                  <c:v>Doctors </c:v>
                </c:pt>
                <c:pt idx="5">
                  <c:v>Assistant Clinical Officers</c:v>
                </c:pt>
                <c:pt idx="6">
                  <c:v>Nurses </c:v>
                </c:pt>
                <c:pt idx="7">
                  <c:v>Health Assistant</c:v>
                </c:pt>
                <c:pt idx="8">
                  <c:v>Basic Health Worker</c:v>
                </c:pt>
                <c:pt idx="9">
                  <c:v>Drungtshos </c:v>
                </c:pt>
                <c:pt idx="10">
                  <c:v>sMenpas </c:v>
                </c:pt>
              </c:strCache>
            </c:strRef>
          </c:cat>
          <c:val>
            <c:numRef>
              <c:f>Health!$B$4:$B$14</c:f>
              <c:numCache>
                <c:formatCode>#,##0_);\(#,##0\)</c:formatCode>
                <c:ptCount val="11"/>
                <c:pt idx="0">
                  <c:v>31</c:v>
                </c:pt>
                <c:pt idx="1">
                  <c:v>184</c:v>
                </c:pt>
                <c:pt idx="2">
                  <c:v>517</c:v>
                </c:pt>
                <c:pt idx="3">
                  <c:v>46</c:v>
                </c:pt>
                <c:pt idx="4">
                  <c:v>181</c:v>
                </c:pt>
                <c:pt idx="5">
                  <c:v>41</c:v>
                </c:pt>
                <c:pt idx="6">
                  <c:v>723</c:v>
                </c:pt>
                <c:pt idx="7">
                  <c:v>408</c:v>
                </c:pt>
                <c:pt idx="8">
                  <c:v>164</c:v>
                </c:pt>
                <c:pt idx="9">
                  <c:v>38</c:v>
                </c:pt>
                <c:pt idx="10">
                  <c:v>56</c:v>
                </c:pt>
              </c:numCache>
            </c:numRef>
          </c:val>
        </c:ser>
        <c:ser>
          <c:idx val="1"/>
          <c:order val="1"/>
          <c:tx>
            <c:strRef>
              <c:f>Health!$C$3</c:f>
              <c:strCache>
                <c:ptCount val="1"/>
                <c:pt idx="0">
                  <c:v>2016</c:v>
                </c:pt>
              </c:strCache>
            </c:strRef>
          </c:tx>
          <c:dLbls>
            <c:dLbl>
              <c:idx val="4"/>
              <c:layout>
                <c:manualLayout>
                  <c:x val="-7.0134424313267139E-3"/>
                  <c:y val="3.6446453559182057E-3"/>
                </c:manualLayout>
              </c:layout>
              <c:showVal val="1"/>
            </c:dLbl>
            <c:dLbl>
              <c:idx val="6"/>
              <c:layout>
                <c:manualLayout>
                  <c:x val="-1.1689070718877868E-2"/>
                  <c:y val="0"/>
                </c:manualLayout>
              </c:layout>
              <c:showVal val="1"/>
            </c:dLbl>
            <c:dLbl>
              <c:idx val="7"/>
              <c:layout>
                <c:manualLayout>
                  <c:x val="-4.6756282875511455E-3"/>
                  <c:y val="0"/>
                </c:manualLayout>
              </c:layout>
              <c:showVal val="1"/>
            </c:dLbl>
            <c:dLbl>
              <c:idx val="10"/>
              <c:layout>
                <c:manualLayout>
                  <c:x val="-9.3512565751022562E-3"/>
                  <c:y val="1.670443157693979E-17"/>
                </c:manualLayout>
              </c:layout>
              <c:showVal val="1"/>
            </c:dLbl>
            <c:txPr>
              <a:bodyPr/>
              <a:lstStyle/>
              <a:p>
                <a:pPr>
                  <a:defRPr sz="800"/>
                </a:pPr>
                <a:endParaRPr lang="en-US"/>
              </a:p>
            </c:txPr>
            <c:showVal val="1"/>
          </c:dLbls>
          <c:cat>
            <c:strRef>
              <c:f>Health!$A$4:$A$14</c:f>
              <c:strCache>
                <c:ptCount val="11"/>
                <c:pt idx="0">
                  <c:v>Hospitals </c:v>
                </c:pt>
                <c:pt idx="1">
                  <c:v>Basic Health Units </c:v>
                </c:pt>
                <c:pt idx="2">
                  <c:v>Outreach Clinics</c:v>
                </c:pt>
                <c:pt idx="3">
                  <c:v>Indigenous Units</c:v>
                </c:pt>
                <c:pt idx="4">
                  <c:v>Doctors </c:v>
                </c:pt>
                <c:pt idx="5">
                  <c:v>Assistant Clinical Officers</c:v>
                </c:pt>
                <c:pt idx="6">
                  <c:v>Nurses </c:v>
                </c:pt>
                <c:pt idx="7">
                  <c:v>Health Assistant</c:v>
                </c:pt>
                <c:pt idx="8">
                  <c:v>Basic Health Worker</c:v>
                </c:pt>
                <c:pt idx="9">
                  <c:v>Drungtshos </c:v>
                </c:pt>
                <c:pt idx="10">
                  <c:v>sMenpas </c:v>
                </c:pt>
              </c:strCache>
            </c:strRef>
          </c:cat>
          <c:val>
            <c:numRef>
              <c:f>Health!$C$4:$C$14</c:f>
              <c:numCache>
                <c:formatCode>#,##0_);\(#,##0\)</c:formatCode>
                <c:ptCount val="11"/>
                <c:pt idx="0">
                  <c:v>30</c:v>
                </c:pt>
                <c:pt idx="1">
                  <c:v>210</c:v>
                </c:pt>
                <c:pt idx="2">
                  <c:v>553</c:v>
                </c:pt>
                <c:pt idx="3">
                  <c:v>59</c:v>
                </c:pt>
                <c:pt idx="4">
                  <c:v>299</c:v>
                </c:pt>
                <c:pt idx="5">
                  <c:v>30</c:v>
                </c:pt>
                <c:pt idx="6">
                  <c:v>1185</c:v>
                </c:pt>
                <c:pt idx="7">
                  <c:v>548</c:v>
                </c:pt>
                <c:pt idx="8">
                  <c:v>62</c:v>
                </c:pt>
                <c:pt idx="9">
                  <c:v>54</c:v>
                </c:pt>
                <c:pt idx="10">
                  <c:v>105</c:v>
                </c:pt>
              </c:numCache>
            </c:numRef>
          </c:val>
        </c:ser>
        <c:gapWidth val="50"/>
        <c:axId val="134600960"/>
        <c:axId val="170987520"/>
      </c:barChart>
      <c:catAx>
        <c:axId val="134600960"/>
        <c:scaling>
          <c:orientation val="minMax"/>
        </c:scaling>
        <c:axPos val="l"/>
        <c:majorTickMark val="none"/>
        <c:tickLblPos val="nextTo"/>
        <c:txPr>
          <a:bodyPr/>
          <a:lstStyle/>
          <a:p>
            <a:pPr>
              <a:defRPr sz="900"/>
            </a:pPr>
            <a:endParaRPr lang="en-US"/>
          </a:p>
        </c:txPr>
        <c:crossAx val="170987520"/>
        <c:crosses val="autoZero"/>
        <c:auto val="1"/>
        <c:lblAlgn val="ctr"/>
        <c:lblOffset val="100"/>
      </c:catAx>
      <c:valAx>
        <c:axId val="170987520"/>
        <c:scaling>
          <c:orientation val="minMax"/>
        </c:scaling>
        <c:axPos val="b"/>
        <c:title>
          <c:tx>
            <c:rich>
              <a:bodyPr/>
              <a:lstStyle/>
              <a:p>
                <a:pPr>
                  <a:defRPr sz="900" b="0"/>
                </a:pPr>
                <a:r>
                  <a:rPr lang="en-US" sz="900" b="0"/>
                  <a:t>Numbers</a:t>
                </a:r>
              </a:p>
            </c:rich>
          </c:tx>
          <c:layout>
            <c:manualLayout>
              <c:xMode val="edge"/>
              <c:yMode val="edge"/>
              <c:x val="0.51790763899610592"/>
              <c:y val="0.95066435458519893"/>
            </c:manualLayout>
          </c:layout>
        </c:title>
        <c:numFmt formatCode="#,##0_);\(#,##0\)" sourceLinked="1"/>
        <c:tickLblPos val="nextTo"/>
        <c:txPr>
          <a:bodyPr/>
          <a:lstStyle/>
          <a:p>
            <a:pPr>
              <a:defRPr sz="900"/>
            </a:pPr>
            <a:endParaRPr lang="en-US"/>
          </a:p>
        </c:txPr>
        <c:crossAx val="134600960"/>
        <c:crosses val="autoZero"/>
        <c:crossBetween val="between"/>
      </c:valAx>
    </c:plotArea>
    <c:legend>
      <c:legendPos val="r"/>
      <c:layout>
        <c:manualLayout>
          <c:xMode val="edge"/>
          <c:yMode val="edge"/>
          <c:x val="0.86870481876040107"/>
          <c:y val="0.63742025874446862"/>
          <c:w val="0.11168733810234485"/>
          <c:h val="0.10532827288884257"/>
        </c:manualLayout>
      </c:layout>
      <c:txPr>
        <a:bodyPr/>
        <a:lstStyle/>
        <a:p>
          <a:pPr>
            <a:defRPr sz="900"/>
          </a:pPr>
          <a:endParaRPr lang="en-US"/>
        </a:p>
      </c:txPr>
    </c:legend>
    <c:plotVisOnly val="1"/>
    <c:dispBlanksAs val="gap"/>
  </c:chart>
  <c:spPr>
    <a:solidFill>
      <a:schemeClr val="lt1"/>
    </a:solidFill>
    <a:ln w="25400" cap="flat" cmpd="sng" algn="ctr">
      <a:solidFill>
        <a:schemeClr val="accent6"/>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17</cp:revision>
  <dcterms:created xsi:type="dcterms:W3CDTF">2014-09-14T04:51:00Z</dcterms:created>
  <dcterms:modified xsi:type="dcterms:W3CDTF">2017-10-03T03:56:00Z</dcterms:modified>
</cp:coreProperties>
</file>